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3" w:rsidRPr="00BE6C68" w:rsidRDefault="00F06CF3" w:rsidP="00F06CF3">
      <w:pPr>
        <w:widowControl/>
        <w:jc w:val="left"/>
        <w:rPr>
          <w:rFonts w:ascii="黑体" w:eastAsia="黑体" w:hAnsi="黑体" w:cs="仿宋"/>
          <w:spacing w:val="-10"/>
          <w:sz w:val="30"/>
          <w:szCs w:val="30"/>
        </w:rPr>
      </w:pPr>
      <w:r w:rsidRPr="00BE6C68">
        <w:rPr>
          <w:rFonts w:ascii="黑体" w:eastAsia="黑体" w:hAnsi="黑体" w:cs="仿宋" w:hint="eastAsia"/>
          <w:spacing w:val="-10"/>
          <w:sz w:val="30"/>
          <w:szCs w:val="30"/>
        </w:rPr>
        <w:t>附件</w:t>
      </w:r>
      <w:r>
        <w:rPr>
          <w:rFonts w:ascii="黑体" w:eastAsia="黑体" w:hAnsi="黑体" w:cs="仿宋"/>
          <w:spacing w:val="-10"/>
          <w:sz w:val="30"/>
          <w:szCs w:val="30"/>
        </w:rPr>
        <w:t>1</w:t>
      </w:r>
    </w:p>
    <w:p w:rsidR="00F06CF3" w:rsidRPr="00385D61" w:rsidRDefault="00F06CF3" w:rsidP="00F06CF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人工智能与信息技术学院</w:t>
      </w:r>
      <w:r w:rsidRPr="00385D61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 w:hint="eastAsia"/>
          <w:sz w:val="32"/>
          <w:szCs w:val="32"/>
        </w:rPr>
        <w:t>20</w:t>
      </w:r>
      <w:r w:rsidRPr="00385D61">
        <w:rPr>
          <w:rFonts w:ascii="黑体" w:eastAsia="黑体" w:hAnsi="黑体" w:hint="eastAsia"/>
          <w:sz w:val="32"/>
          <w:szCs w:val="32"/>
        </w:rPr>
        <w:t>年青年教师教学竞赛评分细则</w:t>
      </w:r>
    </w:p>
    <w:p w:rsidR="00F06CF3" w:rsidRPr="00385D61" w:rsidRDefault="00F06CF3" w:rsidP="00F06CF3">
      <w:pPr>
        <w:jc w:val="center"/>
        <w:rPr>
          <w:rFonts w:ascii="宋体" w:hAnsi="宋体"/>
          <w:b/>
          <w:sz w:val="28"/>
          <w:szCs w:val="28"/>
        </w:rPr>
      </w:pPr>
      <w:r w:rsidRPr="00385D61">
        <w:rPr>
          <w:rFonts w:ascii="宋体" w:hAnsi="宋体" w:hint="eastAsia"/>
          <w:b/>
          <w:sz w:val="28"/>
          <w:szCs w:val="28"/>
        </w:rPr>
        <w:t>1.教学设计评分表</w:t>
      </w:r>
    </w:p>
    <w:p w:rsidR="00F06CF3" w:rsidRPr="006C4E2D" w:rsidRDefault="00F06CF3" w:rsidP="00F06CF3">
      <w:pPr>
        <w:rPr>
          <w:sz w:val="28"/>
          <w:szCs w:val="28"/>
          <w:u w:val="single"/>
        </w:rPr>
      </w:pPr>
      <w:r w:rsidRPr="006C4E2D">
        <w:rPr>
          <w:rFonts w:hint="eastAsia"/>
          <w:sz w:val="28"/>
          <w:szCs w:val="28"/>
        </w:rPr>
        <w:t>选手</w:t>
      </w:r>
      <w:r>
        <w:rPr>
          <w:rFonts w:hint="eastAsia"/>
          <w:sz w:val="28"/>
          <w:szCs w:val="28"/>
        </w:rPr>
        <w:t>序号</w:t>
      </w:r>
      <w:r w:rsidRPr="006C4E2D">
        <w:rPr>
          <w:rFonts w:hint="eastAsia"/>
          <w:sz w:val="28"/>
          <w:szCs w:val="28"/>
        </w:rPr>
        <w:t>：</w:t>
      </w:r>
      <w:r w:rsidRPr="006C4E2D"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6"/>
        <w:gridCol w:w="5929"/>
        <w:gridCol w:w="1158"/>
      </w:tblGrid>
      <w:tr w:rsidR="00F06CF3" w:rsidRPr="00D72D79" w:rsidTr="00D9160E">
        <w:trPr>
          <w:trHeight w:val="464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 w:rsidRPr="006C4E2D">
              <w:rPr>
                <w:rFonts w:ascii="宋体" w:hAnsi="宋体" w:hint="eastAsia"/>
                <w:b/>
                <w:kern w:val="0"/>
                <w:sz w:val="24"/>
                <w:szCs w:val="20"/>
              </w:rPr>
              <w:t>评审指标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 w:rsidRPr="006C4E2D">
              <w:rPr>
                <w:rFonts w:ascii="宋体" w:hAnsi="宋体" w:hint="eastAsia"/>
                <w:b/>
                <w:kern w:val="0"/>
                <w:sz w:val="24"/>
                <w:szCs w:val="20"/>
              </w:rPr>
              <w:t>评审标准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 w:rsidRPr="006C4E2D">
              <w:rPr>
                <w:rFonts w:ascii="宋体" w:hAnsi="宋体" w:hint="eastAsia"/>
                <w:b/>
                <w:kern w:val="0"/>
                <w:sz w:val="24"/>
                <w:szCs w:val="20"/>
              </w:rPr>
              <w:t>分值</w:t>
            </w:r>
          </w:p>
        </w:tc>
      </w:tr>
      <w:tr w:rsidR="00F06CF3" w:rsidRPr="00D72D79" w:rsidTr="00D9160E">
        <w:trPr>
          <w:trHeight w:val="764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教学目标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根据教学大纲，能够从知识、技能、学习态度与价值观三方面设定教学目标，教学目标明确，教学目标与课程目标相一致。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8</w:t>
            </w:r>
          </w:p>
        </w:tc>
      </w:tr>
      <w:tr w:rsidR="00F06CF3" w:rsidRPr="00D72D79" w:rsidTr="00D9160E">
        <w:trPr>
          <w:trHeight w:val="848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教学内容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教学重点难点分析准确恰当，符合学生认知规律。信息量充足，能够准确反映教学内容，具有科学性、前沿性和拓展性。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15</w:t>
            </w:r>
          </w:p>
        </w:tc>
      </w:tr>
      <w:tr w:rsidR="00F06CF3" w:rsidRPr="00D72D79" w:rsidTr="00D9160E">
        <w:trPr>
          <w:trHeight w:val="1216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学</w:t>
            </w:r>
            <w:proofErr w:type="gramStart"/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情分析及教学</w:t>
            </w:r>
            <w:proofErr w:type="gramEnd"/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预测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能够根据学生的智力因素和非智力因素进行学情分析，能够列出学生的认知特征、起点水平和情感态度准备情况、信息技术技能等，对可能出现的情况进行教学预测并有解决预案。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5</w:t>
            </w:r>
          </w:p>
        </w:tc>
      </w:tr>
      <w:tr w:rsidR="00F06CF3" w:rsidRPr="00D72D79" w:rsidTr="00D9160E">
        <w:trPr>
          <w:trHeight w:val="2321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教学策略与方法选择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教学策略能够发挥教师主导作用和学生主体地位，有利于实现教学目标；根据学科特点、教学内容和学生特征选择合适的教学策略；遵照学生的认知规律恰当选择教学方法</w:t>
            </w:r>
            <w:r w:rsidRPr="006C4E2D">
              <w:rPr>
                <w:rFonts w:ascii="仿宋" w:eastAsia="仿宋" w:hAnsi="仿宋"/>
                <w:kern w:val="0"/>
                <w:sz w:val="24"/>
                <w:szCs w:val="20"/>
              </w:rPr>
              <w:t>,</w:t>
            </w: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注重多种教学方法的优化组合；各知识点的教学过程结构类型与所选择的教学方法配套，教学过程结构自然流畅</w:t>
            </w:r>
            <w:r w:rsidRPr="006C4E2D">
              <w:rPr>
                <w:rFonts w:ascii="仿宋" w:eastAsia="仿宋" w:hAnsi="仿宋"/>
                <w:kern w:val="0"/>
                <w:sz w:val="24"/>
                <w:szCs w:val="20"/>
              </w:rPr>
              <w:t>,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组织合理。</w:t>
            </w: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中医药主干课程</w:t>
            </w:r>
            <w:r w:rsidRPr="003A0488">
              <w:rPr>
                <w:rFonts w:ascii="仿宋" w:eastAsia="仿宋" w:hAnsi="仿宋" w:hint="eastAsia"/>
                <w:kern w:val="0"/>
                <w:sz w:val="24"/>
                <w:szCs w:val="20"/>
              </w:rPr>
              <w:t>能够在教学过程中设计培养学生中医药思维的环节和内容。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</w:t>
            </w:r>
            <w:r w:rsidRPr="00414539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5</w:t>
            </w:r>
          </w:p>
        </w:tc>
      </w:tr>
      <w:tr w:rsidR="00F06CF3" w:rsidRPr="00D72D79" w:rsidTr="00D9160E">
        <w:trPr>
          <w:trHeight w:val="583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学习资源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学习资源推介面广、针对性强，材料丰富多样，并做出介绍和说明。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5</w:t>
            </w:r>
          </w:p>
        </w:tc>
      </w:tr>
      <w:tr w:rsidR="00F06CF3" w:rsidRPr="00D72D79" w:rsidTr="00D9160E">
        <w:trPr>
          <w:trHeight w:val="588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w w:val="90"/>
                <w:kern w:val="0"/>
                <w:sz w:val="24"/>
                <w:szCs w:val="20"/>
              </w:rPr>
              <w:t>课堂教学与媒体教学的结合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讲授、板书、媒体技术等的运用设计合理。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10</w:t>
            </w:r>
          </w:p>
        </w:tc>
      </w:tr>
      <w:tr w:rsidR="00F06CF3" w:rsidRPr="00D72D79" w:rsidTr="00D9160E">
        <w:trPr>
          <w:trHeight w:val="454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教学互动环节设计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能够体现师生互动和生生互动，包括课上和课下互动。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10</w:t>
            </w:r>
          </w:p>
        </w:tc>
      </w:tr>
      <w:tr w:rsidR="00F06CF3" w:rsidRPr="00D72D79" w:rsidTr="00D9160E">
        <w:trPr>
          <w:trHeight w:val="609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课外自主学习设计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能够为学生搭建课外学习平台，引导学生进行自主学习和自主评价。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10</w:t>
            </w:r>
          </w:p>
        </w:tc>
      </w:tr>
      <w:tr w:rsidR="00F06CF3" w:rsidRPr="00D72D79" w:rsidTr="00D9160E">
        <w:trPr>
          <w:trHeight w:val="61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教学测量与评价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教学效果的测量与评价方法得当，体现形成性评价的要素。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12</w:t>
            </w:r>
          </w:p>
        </w:tc>
      </w:tr>
      <w:tr w:rsidR="00F06CF3" w:rsidRPr="00D72D79" w:rsidTr="00D9160E">
        <w:trPr>
          <w:trHeight w:val="697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教学反思与改进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6C4E2D" w:rsidRDefault="00F06CF3" w:rsidP="00D9160E">
            <w:pPr>
              <w:spacing w:line="300" w:lineRule="exac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6C4E2D">
              <w:rPr>
                <w:rFonts w:ascii="仿宋" w:eastAsia="仿宋" w:hAnsi="仿宋" w:hint="eastAsia"/>
                <w:kern w:val="0"/>
                <w:sz w:val="24"/>
                <w:szCs w:val="20"/>
              </w:rPr>
              <w:t>能够对教学内容和过程进行梳理和反思，并做到适时调整，能够提出改进教学的方法。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4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/>
                <w:b/>
                <w:kern w:val="0"/>
                <w:sz w:val="24"/>
                <w:szCs w:val="20"/>
              </w:rPr>
              <w:t>10</w:t>
            </w:r>
          </w:p>
        </w:tc>
      </w:tr>
      <w:tr w:rsidR="00F06CF3" w:rsidRPr="00D72D79" w:rsidTr="00D9160E">
        <w:trPr>
          <w:trHeight w:val="691"/>
          <w:jc w:val="center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253032" w:rsidRDefault="00F06CF3" w:rsidP="00D9160E">
            <w:pPr>
              <w:spacing w:line="30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得分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Default="00F06CF3" w:rsidP="00D9160E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F06CF3" w:rsidRPr="006C4E2D" w:rsidRDefault="00F06CF3" w:rsidP="00D9160E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</w:tr>
    </w:tbl>
    <w:p w:rsidR="00F06CF3" w:rsidRDefault="00F06CF3" w:rsidP="00F06CF3">
      <w:pPr>
        <w:ind w:right="560" w:firstLineChars="1850" w:firstLine="5180"/>
        <w:jc w:val="right"/>
      </w:pPr>
      <w:r>
        <w:rPr>
          <w:rFonts w:hint="eastAsia"/>
          <w:sz w:val="28"/>
          <w:szCs w:val="28"/>
        </w:rPr>
        <w:t xml:space="preserve">                               </w:t>
      </w:r>
      <w:r w:rsidRPr="006C4E2D">
        <w:rPr>
          <w:rFonts w:hint="eastAsia"/>
          <w:sz w:val="28"/>
          <w:szCs w:val="28"/>
        </w:rPr>
        <w:lastRenderedPageBreak/>
        <w:t>专家签名：</w:t>
      </w:r>
      <w:r>
        <w:rPr>
          <w:rFonts w:hint="eastAsia"/>
        </w:rPr>
        <w:t xml:space="preserve">   </w:t>
      </w:r>
    </w:p>
    <w:p w:rsidR="00F06CF3" w:rsidRDefault="00F06CF3" w:rsidP="00F06CF3">
      <w:pPr>
        <w:ind w:right="56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Pr="00D272DF">
        <w:rPr>
          <w:rFonts w:ascii="宋体" w:hAnsi="宋体" w:hint="eastAsia"/>
          <w:b/>
          <w:sz w:val="28"/>
          <w:szCs w:val="28"/>
        </w:rPr>
        <w:t>.教学</w:t>
      </w:r>
      <w:r>
        <w:rPr>
          <w:rFonts w:ascii="宋体" w:hAnsi="宋体" w:hint="eastAsia"/>
          <w:b/>
          <w:sz w:val="28"/>
          <w:szCs w:val="28"/>
        </w:rPr>
        <w:t>演示</w:t>
      </w:r>
      <w:r w:rsidRPr="00D272DF">
        <w:rPr>
          <w:rFonts w:ascii="宋体" w:hAnsi="宋体" w:hint="eastAsia"/>
          <w:b/>
          <w:sz w:val="28"/>
          <w:szCs w:val="28"/>
        </w:rPr>
        <w:t>专家评分</w:t>
      </w:r>
      <w:r>
        <w:rPr>
          <w:rFonts w:ascii="宋体" w:hAnsi="宋体" w:hint="eastAsia"/>
          <w:b/>
          <w:sz w:val="28"/>
          <w:szCs w:val="28"/>
        </w:rPr>
        <w:t>表</w:t>
      </w:r>
    </w:p>
    <w:p w:rsidR="00F06CF3" w:rsidRPr="00D272DF" w:rsidRDefault="00F06CF3" w:rsidP="00F06CF3">
      <w:pPr>
        <w:ind w:right="560" w:firstLineChars="1850" w:firstLine="5200"/>
        <w:jc w:val="center"/>
        <w:rPr>
          <w:rFonts w:ascii="宋体" w:hAnsi="宋体"/>
          <w:b/>
          <w:sz w:val="28"/>
          <w:szCs w:val="28"/>
        </w:rPr>
      </w:pPr>
    </w:p>
    <w:p w:rsidR="00F06CF3" w:rsidRPr="00196696" w:rsidRDefault="00F06CF3" w:rsidP="00F06CF3">
      <w:pPr>
        <w:rPr>
          <w:rFonts w:ascii="宋体" w:hAnsi="宋体"/>
          <w:sz w:val="28"/>
          <w:szCs w:val="28"/>
        </w:rPr>
      </w:pPr>
      <w:r w:rsidRPr="00196696">
        <w:rPr>
          <w:rFonts w:ascii="宋体" w:hAnsi="宋体" w:hint="eastAsia"/>
          <w:sz w:val="28"/>
          <w:szCs w:val="28"/>
        </w:rPr>
        <w:t>选手序号：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196696">
        <w:rPr>
          <w:rFonts w:ascii="宋体" w:hAnsi="宋体" w:hint="eastAsia"/>
          <w:sz w:val="28"/>
          <w:szCs w:val="28"/>
        </w:rPr>
        <w:t xml:space="preserve">            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6116"/>
        <w:gridCol w:w="971"/>
      </w:tblGrid>
      <w:tr w:rsidR="00F06CF3" w:rsidRPr="00D72D79" w:rsidTr="00D9160E">
        <w:trPr>
          <w:trHeight w:val="39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spacing w:line="3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3895">
              <w:rPr>
                <w:rFonts w:ascii="新宋体" w:eastAsia="新宋体" w:hAnsi="新宋体" w:hint="eastAsia"/>
                <w:b/>
                <w:sz w:val="24"/>
              </w:rPr>
              <w:t>评审指标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spacing w:line="3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3895">
              <w:rPr>
                <w:rFonts w:ascii="新宋体" w:eastAsia="新宋体" w:hAnsi="新宋体" w:hint="eastAsia"/>
                <w:b/>
                <w:sz w:val="24"/>
              </w:rPr>
              <w:t>评审标准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3895">
              <w:rPr>
                <w:rFonts w:ascii="新宋体" w:eastAsia="新宋体" w:hAnsi="新宋体" w:hint="eastAsia"/>
                <w:b/>
                <w:sz w:val="24"/>
              </w:rPr>
              <w:t>分值</w:t>
            </w:r>
          </w:p>
        </w:tc>
      </w:tr>
      <w:tr w:rsidR="00F06CF3" w:rsidRPr="00414539" w:rsidTr="00D9160E">
        <w:trPr>
          <w:trHeight w:val="150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</w:t>
            </w: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目标内容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教学目标明确，体现知识、能力、素质以及情感与价值观的整合；教学内容选取适当，符合学生水平和特点；充分考虑教学重点、难点，并进行有针对性的分析与设计。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25</w:t>
            </w:r>
          </w:p>
        </w:tc>
      </w:tr>
      <w:tr w:rsidR="00F06CF3" w:rsidRPr="00414539" w:rsidTr="00D9160E">
        <w:trPr>
          <w:trHeight w:val="21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方法手段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策略合理，体现先进教学理念与认知规律，教学方法突出学生学习的主体地位，有利于激发学生自主学习，有助于师生、生生有效互动，有明确的学生活动设计；课件制作富有创意，新奇独到，视觉效果强烈，能有效配合教学；根据学科知识和教学内容，合理选择使用各种教学媒体，灵活调动相关教学资源</w:t>
            </w: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>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25</w:t>
            </w:r>
          </w:p>
        </w:tc>
      </w:tr>
      <w:tr w:rsidR="00F06CF3" w:rsidRPr="00414539" w:rsidTr="00D9160E">
        <w:trPr>
          <w:trHeight w:val="228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教学过程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教学内容娴熟，信息量饱满，重点突出；教学步骤清楚，教学环节完整，教学过程深入浅出；善于总结归纳，指导学生学习技巧，提供了相关扩充性学习资源；教学评价合理有效，评价结果得到及时应用；注重课内外学习的有机结合，课后作业分量达到课堂教学时数的2倍，作业的内容能提升学生将所学知识迁移至新情景的能力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25</w:t>
            </w:r>
          </w:p>
        </w:tc>
      </w:tr>
      <w:tr w:rsidR="00F06CF3" w:rsidRPr="00414539" w:rsidTr="00D9160E">
        <w:trPr>
          <w:trHeight w:val="185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rPr>
                <w:rFonts w:ascii="仿宋" w:eastAsia="仿宋" w:hAnsi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0"/>
              </w:rPr>
              <w:t xml:space="preserve">  </w:t>
            </w: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现场效果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923895" w:rsidRDefault="00F06CF3" w:rsidP="00D9160E">
            <w:pPr>
              <w:jc w:val="left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923895">
              <w:rPr>
                <w:rFonts w:ascii="仿宋" w:eastAsia="仿宋" w:hAnsi="仿宋" w:hint="eastAsia"/>
                <w:kern w:val="0"/>
                <w:sz w:val="24"/>
                <w:szCs w:val="20"/>
              </w:rPr>
              <w:t>完成预定教学目标，有效解决实际教学问题；教学形式富趣味性和启发性，教学氛围的营造有助于调动学生学习积极性和主动性；口头语言和肢体语言规范清晰，富有感染力，仪态表情投入，展现良好的教学风貌和个人魅力。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25</w:t>
            </w:r>
          </w:p>
        </w:tc>
      </w:tr>
      <w:tr w:rsidR="00F06CF3" w:rsidRPr="00D72D79" w:rsidTr="00D9160E">
        <w:trPr>
          <w:trHeight w:val="112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253032" w:rsidRDefault="00F06CF3" w:rsidP="00D9160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得分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Default="00F06CF3" w:rsidP="00D9160E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F06CF3" w:rsidRDefault="00F06CF3" w:rsidP="00F06CF3"/>
    <w:p w:rsidR="00F06CF3" w:rsidRPr="00ED29F5" w:rsidRDefault="00F06CF3" w:rsidP="00F06CF3">
      <w:r>
        <w:rPr>
          <w:rFonts w:hint="eastAsia"/>
        </w:rPr>
        <w:t xml:space="preserve">              </w:t>
      </w:r>
    </w:p>
    <w:p w:rsidR="00F06CF3" w:rsidRPr="00196696" w:rsidRDefault="00F06CF3" w:rsidP="00F06CF3">
      <w:pPr>
        <w:rPr>
          <w:sz w:val="28"/>
          <w:szCs w:val="28"/>
        </w:rPr>
      </w:pPr>
      <w:r w:rsidRPr="00ED29F5">
        <w:rPr>
          <w:rFonts w:hint="eastAsia"/>
          <w:sz w:val="28"/>
          <w:szCs w:val="28"/>
        </w:rPr>
        <w:t xml:space="preserve">                                    </w:t>
      </w:r>
      <w:r w:rsidRPr="00ED29F5">
        <w:rPr>
          <w:rFonts w:hint="eastAsia"/>
          <w:sz w:val="28"/>
          <w:szCs w:val="28"/>
        </w:rPr>
        <w:t>专家签名：</w:t>
      </w:r>
    </w:p>
    <w:p w:rsidR="00F06CF3" w:rsidRDefault="00F06CF3" w:rsidP="00F06CF3">
      <w:pPr>
        <w:spacing w:line="264" w:lineRule="auto"/>
        <w:jc w:val="center"/>
        <w:rPr>
          <w:rFonts w:ascii="宋体" w:hAnsi="宋体"/>
          <w:b/>
          <w:sz w:val="28"/>
          <w:szCs w:val="28"/>
        </w:rPr>
      </w:pPr>
    </w:p>
    <w:p w:rsidR="00F06CF3" w:rsidRDefault="00F06CF3" w:rsidP="00F06CF3">
      <w:pPr>
        <w:spacing w:line="264" w:lineRule="auto"/>
        <w:jc w:val="center"/>
        <w:rPr>
          <w:rFonts w:ascii="宋体" w:hAnsi="宋体"/>
          <w:b/>
          <w:sz w:val="28"/>
          <w:szCs w:val="28"/>
        </w:rPr>
      </w:pPr>
    </w:p>
    <w:p w:rsidR="00F06CF3" w:rsidRDefault="00F06CF3" w:rsidP="00F06CF3">
      <w:pPr>
        <w:spacing w:line="264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</w:t>
      </w:r>
      <w:r w:rsidRPr="00D272DF"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 w:hint="eastAsia"/>
          <w:b/>
          <w:sz w:val="28"/>
          <w:szCs w:val="28"/>
        </w:rPr>
        <w:t>现场答题</w:t>
      </w:r>
      <w:r w:rsidRPr="00D272DF">
        <w:rPr>
          <w:rFonts w:ascii="宋体" w:hAnsi="宋体" w:hint="eastAsia"/>
          <w:b/>
          <w:sz w:val="28"/>
          <w:szCs w:val="28"/>
        </w:rPr>
        <w:t>评分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398"/>
        <w:tblW w:w="6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8"/>
        <w:gridCol w:w="2315"/>
      </w:tblGrid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2315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见解正确</w:t>
            </w:r>
          </w:p>
        </w:tc>
        <w:tc>
          <w:tcPr>
            <w:tcW w:w="2315" w:type="dxa"/>
            <w:vAlign w:val="center"/>
          </w:tcPr>
          <w:p w:rsidR="00F06CF3" w:rsidRPr="00CE4AF3" w:rsidRDefault="00F06CF3" w:rsidP="00D9160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E4AF3">
              <w:rPr>
                <w:rFonts w:ascii="仿宋" w:eastAsia="仿宋" w:hAnsi="仿宋" w:cs="仿宋" w:hint="eastAsia"/>
                <w:b/>
                <w:sz w:val="28"/>
                <w:szCs w:val="28"/>
              </w:rPr>
              <w:t>20</w:t>
            </w:r>
          </w:p>
        </w:tc>
      </w:tr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论据充分</w:t>
            </w:r>
          </w:p>
        </w:tc>
        <w:tc>
          <w:tcPr>
            <w:tcW w:w="2315" w:type="dxa"/>
            <w:vAlign w:val="center"/>
          </w:tcPr>
          <w:p w:rsidR="00F06CF3" w:rsidRPr="00CE4AF3" w:rsidRDefault="00F06CF3" w:rsidP="00D9160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E4AF3">
              <w:rPr>
                <w:rFonts w:ascii="仿宋" w:eastAsia="仿宋" w:hAnsi="仿宋" w:cs="仿宋" w:hint="eastAsia"/>
                <w:b/>
                <w:sz w:val="28"/>
                <w:szCs w:val="28"/>
              </w:rPr>
              <w:t>20</w:t>
            </w:r>
          </w:p>
        </w:tc>
      </w:tr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表达清楚</w:t>
            </w:r>
          </w:p>
        </w:tc>
        <w:tc>
          <w:tcPr>
            <w:tcW w:w="2315" w:type="dxa"/>
            <w:vAlign w:val="center"/>
          </w:tcPr>
          <w:p w:rsidR="00F06CF3" w:rsidRPr="00CE4AF3" w:rsidRDefault="00F06CF3" w:rsidP="00D9160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E4AF3">
              <w:rPr>
                <w:rFonts w:ascii="仿宋" w:eastAsia="仿宋" w:hAnsi="仿宋" w:cs="仿宋" w:hint="eastAsia"/>
                <w:b/>
                <w:sz w:val="28"/>
                <w:szCs w:val="28"/>
              </w:rPr>
              <w:t>20</w:t>
            </w:r>
          </w:p>
        </w:tc>
      </w:tr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联系实际</w:t>
            </w:r>
          </w:p>
        </w:tc>
        <w:tc>
          <w:tcPr>
            <w:tcW w:w="2315" w:type="dxa"/>
            <w:vAlign w:val="center"/>
          </w:tcPr>
          <w:p w:rsidR="00F06CF3" w:rsidRPr="00CE4AF3" w:rsidRDefault="00F06CF3" w:rsidP="00D9160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E4AF3">
              <w:rPr>
                <w:rFonts w:ascii="仿宋" w:eastAsia="仿宋" w:hAnsi="仿宋" w:cs="仿宋" w:hint="eastAsia"/>
                <w:b/>
                <w:sz w:val="28"/>
                <w:szCs w:val="28"/>
              </w:rPr>
              <w:t>20</w:t>
            </w:r>
          </w:p>
        </w:tc>
      </w:tr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综合评价</w:t>
            </w:r>
          </w:p>
        </w:tc>
        <w:tc>
          <w:tcPr>
            <w:tcW w:w="2315" w:type="dxa"/>
            <w:vAlign w:val="center"/>
          </w:tcPr>
          <w:p w:rsidR="00F06CF3" w:rsidRPr="00CE4AF3" w:rsidRDefault="00F06CF3" w:rsidP="00D9160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E4AF3">
              <w:rPr>
                <w:rFonts w:ascii="仿宋" w:eastAsia="仿宋" w:hAnsi="仿宋" w:cs="仿宋" w:hint="eastAsia"/>
                <w:b/>
                <w:sz w:val="28"/>
                <w:szCs w:val="28"/>
              </w:rPr>
              <w:t>20</w:t>
            </w:r>
          </w:p>
        </w:tc>
      </w:tr>
      <w:tr w:rsidR="00F06CF3" w:rsidTr="00D9160E">
        <w:trPr>
          <w:trHeight w:hRule="exact" w:val="1083"/>
        </w:trPr>
        <w:tc>
          <w:tcPr>
            <w:tcW w:w="4178" w:type="dxa"/>
            <w:vAlign w:val="center"/>
          </w:tcPr>
          <w:p w:rsidR="00F06CF3" w:rsidRPr="00CE4AF3" w:rsidRDefault="00F06CF3" w:rsidP="00D9160E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CE4AF3">
              <w:rPr>
                <w:rFonts w:ascii="仿宋" w:eastAsia="仿宋" w:hAnsi="仿宋" w:cs="仿宋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2315" w:type="dxa"/>
            <w:vAlign w:val="center"/>
          </w:tcPr>
          <w:p w:rsidR="00F06CF3" w:rsidRDefault="00F06CF3" w:rsidP="00D916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06CF3" w:rsidRDefault="00F06CF3" w:rsidP="00F06CF3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F06CF3" w:rsidRPr="00D272DF" w:rsidRDefault="00F06CF3" w:rsidP="00F06CF3">
      <w:pPr>
        <w:spacing w:line="264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4</w:t>
      </w:r>
      <w:r w:rsidRPr="00D272DF">
        <w:rPr>
          <w:rFonts w:ascii="宋体" w:hAnsi="宋体" w:hint="eastAsia"/>
          <w:b/>
          <w:sz w:val="28"/>
          <w:szCs w:val="28"/>
        </w:rPr>
        <w:t>.教学</w:t>
      </w:r>
      <w:r>
        <w:rPr>
          <w:rFonts w:ascii="宋体" w:hAnsi="宋体" w:hint="eastAsia"/>
          <w:b/>
          <w:sz w:val="28"/>
          <w:szCs w:val="28"/>
        </w:rPr>
        <w:t>演示</w:t>
      </w:r>
      <w:r w:rsidRPr="00D272DF">
        <w:rPr>
          <w:rFonts w:ascii="宋体" w:hAnsi="宋体" w:hint="eastAsia"/>
          <w:b/>
          <w:sz w:val="28"/>
          <w:szCs w:val="28"/>
        </w:rPr>
        <w:t>学生评分</w:t>
      </w:r>
      <w:r>
        <w:rPr>
          <w:rFonts w:ascii="宋体" w:hAnsi="宋体" w:hint="eastAsia"/>
          <w:b/>
          <w:sz w:val="28"/>
          <w:szCs w:val="28"/>
        </w:rPr>
        <w:t>表</w:t>
      </w:r>
    </w:p>
    <w:p w:rsidR="00F06CF3" w:rsidRDefault="00F06CF3" w:rsidP="00F06CF3">
      <w:pPr>
        <w:spacing w:line="264" w:lineRule="auto"/>
        <w:jc w:val="center"/>
        <w:rPr>
          <w:sz w:val="36"/>
          <w:szCs w:val="36"/>
        </w:rPr>
      </w:pPr>
    </w:p>
    <w:p w:rsidR="00F06CF3" w:rsidRPr="00253032" w:rsidRDefault="00F06CF3" w:rsidP="00F06CF3">
      <w:pPr>
        <w:spacing w:line="264" w:lineRule="auto"/>
        <w:jc w:val="left"/>
        <w:rPr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D272DF">
        <w:rPr>
          <w:rFonts w:hint="eastAsia"/>
          <w:sz w:val="28"/>
          <w:szCs w:val="28"/>
        </w:rPr>
        <w:t>选手</w:t>
      </w:r>
      <w:r>
        <w:rPr>
          <w:rFonts w:hint="eastAsia"/>
          <w:sz w:val="28"/>
          <w:szCs w:val="28"/>
        </w:rPr>
        <w:t>序号</w:t>
      </w:r>
      <w:r w:rsidRPr="00D272DF">
        <w:rPr>
          <w:rFonts w:hint="eastAsia"/>
          <w:sz w:val="28"/>
          <w:szCs w:val="28"/>
        </w:rPr>
        <w:t>：</w:t>
      </w:r>
      <w:r w:rsidRPr="00D272DF">
        <w:rPr>
          <w:rFonts w:hint="eastAsia"/>
          <w:sz w:val="28"/>
          <w:szCs w:val="28"/>
          <w:u w:val="single"/>
        </w:rPr>
        <w:t xml:space="preserve"> 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5"/>
        <w:gridCol w:w="5411"/>
        <w:gridCol w:w="806"/>
      </w:tblGrid>
      <w:tr w:rsidR="00F06CF3" w:rsidRPr="00D72D79" w:rsidTr="00D9160E">
        <w:trPr>
          <w:trHeight w:val="3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 w:rsidRPr="00D272DF">
              <w:rPr>
                <w:rFonts w:ascii="宋体" w:hAnsi="宋体" w:hint="eastAsia"/>
                <w:b/>
                <w:kern w:val="0"/>
                <w:sz w:val="24"/>
                <w:szCs w:val="20"/>
              </w:rPr>
              <w:t>评审指标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 w:rsidRPr="00D272DF">
              <w:rPr>
                <w:rFonts w:ascii="宋体" w:hAnsi="宋体" w:hint="eastAsia"/>
                <w:b/>
                <w:kern w:val="0"/>
                <w:sz w:val="24"/>
                <w:szCs w:val="20"/>
              </w:rPr>
              <w:t>评审标准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 w:rsidRPr="00D272DF">
              <w:rPr>
                <w:rFonts w:ascii="宋体" w:hAnsi="宋体" w:hint="eastAsia"/>
                <w:b/>
                <w:kern w:val="0"/>
                <w:sz w:val="24"/>
                <w:szCs w:val="20"/>
              </w:rPr>
              <w:t>分值</w:t>
            </w:r>
          </w:p>
        </w:tc>
      </w:tr>
      <w:tr w:rsidR="00F06CF3" w:rsidRPr="00D72D79" w:rsidTr="00D9160E">
        <w:trPr>
          <w:trHeight w:val="1339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F3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易于理解</w:t>
            </w: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讲述清楚明白，知识容易消化，老师课堂上讲的内容70%我都掌握了。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5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20</w:t>
            </w:r>
          </w:p>
        </w:tc>
      </w:tr>
      <w:tr w:rsidR="00F06CF3" w:rsidRPr="00D72D79" w:rsidTr="00D9160E">
        <w:trPr>
          <w:trHeight w:val="1491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F3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语言抓人</w:t>
            </w: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语言有吸引力，我的注意力始终都很集中，教学情景引人入胜，令我难忘。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5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20</w:t>
            </w:r>
          </w:p>
        </w:tc>
      </w:tr>
      <w:tr w:rsidR="00F06CF3" w:rsidRPr="00D72D79" w:rsidTr="00D9160E">
        <w:trPr>
          <w:trHeight w:val="3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F3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进程合理</w:t>
            </w: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F06CF3" w:rsidRPr="00D272DF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老师讲课节凑快慢适中，让我有时间理解和思考。</w:t>
            </w:r>
          </w:p>
          <w:p w:rsidR="00F06CF3" w:rsidRPr="00D272DF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5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20</w:t>
            </w:r>
          </w:p>
        </w:tc>
      </w:tr>
      <w:tr w:rsidR="00F06CF3" w:rsidRPr="00D72D79" w:rsidTr="00D9160E">
        <w:trPr>
          <w:trHeight w:val="3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演示生动</w:t>
            </w:r>
          </w:p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演示内容直观，激发了我的学习兴趣和热情，让人身临其境，加深了我对知识的理解。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5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20</w:t>
            </w:r>
          </w:p>
        </w:tc>
      </w:tr>
      <w:tr w:rsidR="00F06CF3" w:rsidRPr="00D72D79" w:rsidTr="00D9160E">
        <w:trPr>
          <w:trHeight w:val="3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富有启发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D272DF" w:rsidRDefault="00F06CF3" w:rsidP="00D9160E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0"/>
              </w:rPr>
            </w:pPr>
            <w:r w:rsidRPr="00D272DF">
              <w:rPr>
                <w:rFonts w:ascii="仿宋" w:eastAsia="仿宋" w:hAnsi="仿宋" w:hint="eastAsia"/>
                <w:kern w:val="0"/>
                <w:sz w:val="24"/>
                <w:szCs w:val="20"/>
              </w:rPr>
              <w:t>老师的提问引起了我的深度思考，获得了一些重要启示；老师教的学习方法对我很有帮助。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414539" w:rsidRDefault="00F06CF3" w:rsidP="00D9160E">
            <w:pPr>
              <w:spacing w:line="500" w:lineRule="exact"/>
              <w:jc w:val="center"/>
              <w:rPr>
                <w:rFonts w:ascii="黑体" w:eastAsia="黑体" w:hAnsi="黑体"/>
                <w:b/>
                <w:kern w:val="0"/>
                <w:sz w:val="24"/>
                <w:szCs w:val="20"/>
              </w:rPr>
            </w:pPr>
            <w:r w:rsidRPr="00414539">
              <w:rPr>
                <w:rFonts w:ascii="黑体" w:eastAsia="黑体" w:hAnsi="黑体" w:hint="eastAsia"/>
                <w:b/>
                <w:kern w:val="0"/>
                <w:sz w:val="24"/>
                <w:szCs w:val="20"/>
              </w:rPr>
              <w:t>20</w:t>
            </w:r>
          </w:p>
        </w:tc>
      </w:tr>
      <w:tr w:rsidR="00F06CF3" w:rsidRPr="00D72D79" w:rsidTr="00D9160E">
        <w:trPr>
          <w:trHeight w:val="3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Pr="00253032" w:rsidRDefault="00F06CF3" w:rsidP="00D9160E">
            <w:pPr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得分</w:t>
            </w: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F3" w:rsidRDefault="00F06CF3" w:rsidP="00D9160E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  <w:p w:rsidR="00F06CF3" w:rsidRDefault="00F06CF3" w:rsidP="00D9160E"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24"/>
                <w:szCs w:val="20"/>
              </w:rPr>
            </w:pPr>
          </w:p>
        </w:tc>
      </w:tr>
    </w:tbl>
    <w:p w:rsidR="00F06CF3" w:rsidRPr="00D272DF" w:rsidRDefault="00F06CF3" w:rsidP="00F06CF3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</w:t>
      </w:r>
    </w:p>
    <w:p w:rsidR="00F06CF3" w:rsidRPr="00D272DF" w:rsidRDefault="00F06CF3" w:rsidP="00F06CF3">
      <w:pPr>
        <w:ind w:firstLineChars="200" w:firstLine="560"/>
        <w:jc w:val="center"/>
        <w:rPr>
          <w:rFonts w:ascii="宋体" w:hAnsi="宋体"/>
          <w:sz w:val="28"/>
          <w:szCs w:val="28"/>
        </w:rPr>
      </w:pPr>
      <w:r w:rsidRPr="00D272DF">
        <w:rPr>
          <w:rFonts w:ascii="宋体" w:hAnsi="宋体" w:hint="eastAsia"/>
          <w:sz w:val="28"/>
          <w:szCs w:val="28"/>
        </w:rPr>
        <w:t xml:space="preserve">         学生签名：</w:t>
      </w:r>
    </w:p>
    <w:p w:rsidR="00F06CF3" w:rsidRPr="0062731A" w:rsidRDefault="00F06CF3" w:rsidP="00F06CF3">
      <w:pPr>
        <w:rPr>
          <w:rFonts w:ascii="仿宋_GB2312" w:eastAsia="仿宋_GB2312" w:hAnsi="仿宋"/>
          <w:sz w:val="28"/>
          <w:szCs w:val="28"/>
        </w:rPr>
      </w:pPr>
    </w:p>
    <w:p w:rsidR="00F06CF3" w:rsidRDefault="00F06CF3" w:rsidP="00F06CF3"/>
    <w:p w:rsidR="00F06CF3" w:rsidRDefault="00F06CF3" w:rsidP="00F06CF3"/>
    <w:p w:rsidR="00F06CF3" w:rsidRDefault="00F06CF3" w:rsidP="00F06CF3"/>
    <w:p w:rsidR="00F06CF3" w:rsidRDefault="00F06CF3" w:rsidP="00F06CF3"/>
    <w:p w:rsidR="009F6560" w:rsidRDefault="009F6560" w:rsidP="00F06CF3">
      <w:pPr>
        <w:widowControl/>
        <w:jc w:val="left"/>
      </w:pPr>
    </w:p>
    <w:sectPr w:rsidR="009F6560" w:rsidSect="009F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CF3"/>
    <w:rsid w:val="009F6560"/>
    <w:rsid w:val="00F0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2020-09-29T07:16:00Z</dcterms:created>
  <dcterms:modified xsi:type="dcterms:W3CDTF">2020-09-29T07:17:00Z</dcterms:modified>
</cp:coreProperties>
</file>